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2119" w14:textId="77777777" w:rsidR="00BB0088" w:rsidRDefault="00BB0088" w:rsidP="00F3417F"/>
    <w:p w14:paraId="00219387" w14:textId="77777777" w:rsidR="00BB0088" w:rsidRDefault="00BB0088" w:rsidP="00F3417F"/>
    <w:p w14:paraId="2325548C" w14:textId="77777777" w:rsidR="00BB0088" w:rsidRDefault="00BB0088" w:rsidP="00F3417F">
      <w:r w:rsidRPr="00BB0088">
        <w:rPr>
          <w:noProof/>
          <w:lang w:eastAsia="en-GB"/>
        </w:rPr>
        <w:drawing>
          <wp:inline distT="0" distB="0" distL="0" distR="0" wp14:anchorId="4DA01289" wp14:editId="10F3E458">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6A2942AB" w14:textId="77777777" w:rsidR="00BB0088" w:rsidRDefault="00BB0088" w:rsidP="00F3417F"/>
    <w:p w14:paraId="4BEF911B" w14:textId="77777777" w:rsidR="00880B14" w:rsidRDefault="009349B8" w:rsidP="00880B14">
      <w:pPr>
        <w:jc w:val="center"/>
        <w:rPr>
          <w:rFonts w:eastAsia="Comic Sans MS" w:cstheme="minorHAnsi"/>
          <w:sz w:val="52"/>
          <w:szCs w:val="52"/>
          <w:u w:val="single"/>
        </w:rPr>
      </w:pPr>
      <w:r>
        <w:rPr>
          <w:sz w:val="52"/>
          <w:szCs w:val="52"/>
          <w:u w:val="single"/>
        </w:rPr>
        <w:t>Allegations of Abuse Against Staff</w:t>
      </w:r>
      <w:r w:rsidR="00A95A9F">
        <w:rPr>
          <w:rFonts w:eastAsia="Comic Sans MS" w:cstheme="minorHAnsi"/>
          <w:sz w:val="52"/>
          <w:szCs w:val="52"/>
          <w:u w:val="single"/>
        </w:rPr>
        <w:t xml:space="preserve"> Policy</w:t>
      </w:r>
    </w:p>
    <w:p w14:paraId="409EA3BB" w14:textId="77777777" w:rsidR="00BB0088" w:rsidRDefault="00BB0088" w:rsidP="00BB0088">
      <w:pPr>
        <w:jc w:val="center"/>
        <w:rPr>
          <w:sz w:val="52"/>
          <w:szCs w:val="52"/>
        </w:rPr>
      </w:pPr>
    </w:p>
    <w:p w14:paraId="333E80EF" w14:textId="77777777" w:rsidR="00517E47" w:rsidRPr="00523C8D" w:rsidRDefault="00517E47" w:rsidP="00517E47">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FE51861" w14:textId="77777777" w:rsidR="00517E47" w:rsidRPr="00523C8D" w:rsidRDefault="00517E47" w:rsidP="00517E47">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12E52CFD" w14:textId="77777777" w:rsidR="00517E47" w:rsidRPr="00523C8D" w:rsidRDefault="00517E47" w:rsidP="00517E47">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CA1D5F8" w14:textId="77777777" w:rsidR="00BB0088" w:rsidRDefault="00BB0088" w:rsidP="00BB0088">
      <w:pPr>
        <w:jc w:val="center"/>
        <w:rPr>
          <w:sz w:val="52"/>
          <w:szCs w:val="52"/>
        </w:rPr>
      </w:pPr>
    </w:p>
    <w:p w14:paraId="3245AC0B" w14:textId="77777777" w:rsidR="00517E47" w:rsidRDefault="00517E47" w:rsidP="00BB0088">
      <w:pPr>
        <w:jc w:val="center"/>
        <w:rPr>
          <w:sz w:val="52"/>
          <w:szCs w:val="52"/>
        </w:rPr>
      </w:pPr>
    </w:p>
    <w:p w14:paraId="45C5B98B" w14:textId="77777777" w:rsidR="00517E47" w:rsidRPr="00BB0088" w:rsidRDefault="00517E47" w:rsidP="00BB0088">
      <w:pPr>
        <w:jc w:val="center"/>
        <w:rPr>
          <w:sz w:val="52"/>
          <w:szCs w:val="52"/>
        </w:rPr>
      </w:pPr>
    </w:p>
    <w:p w14:paraId="179A6DED" w14:textId="77777777" w:rsidR="00BB0088" w:rsidRDefault="00BB0088" w:rsidP="00F3417F"/>
    <w:p w14:paraId="1A77E70E" w14:textId="77777777" w:rsidR="00BB0088" w:rsidRDefault="00BB0088" w:rsidP="00F3417F"/>
    <w:p w14:paraId="04E7C248" w14:textId="77777777" w:rsidR="00566B66" w:rsidRDefault="00566B66" w:rsidP="00F3417F"/>
    <w:p w14:paraId="4A14EE7E" w14:textId="77777777" w:rsidR="00566B66" w:rsidRDefault="00566B66" w:rsidP="00F3417F"/>
    <w:p w14:paraId="200E234E" w14:textId="77777777" w:rsidR="00BB0088" w:rsidRDefault="00BB0088" w:rsidP="00F3417F"/>
    <w:p w14:paraId="596D1E68" w14:textId="77777777" w:rsidR="000B7C85" w:rsidRDefault="000B7C85" w:rsidP="000B7C85">
      <w:pPr>
        <w:spacing w:after="0" w:line="240" w:lineRule="auto"/>
        <w:jc w:val="both"/>
        <w:rPr>
          <w:rFonts w:ascii="Comic Sans MS" w:eastAsia="Comic Sans MS" w:hAnsi="Comic Sans MS" w:cs="Comic Sans MS"/>
          <w:sz w:val="24"/>
          <w:u w:val="single"/>
        </w:rPr>
      </w:pPr>
    </w:p>
    <w:p w14:paraId="4A346907" w14:textId="77777777" w:rsidR="00CE45BF" w:rsidRDefault="00CE45BF" w:rsidP="000B7C85">
      <w:pPr>
        <w:spacing w:after="0" w:line="240" w:lineRule="auto"/>
        <w:jc w:val="both"/>
        <w:rPr>
          <w:rFonts w:ascii="Comic Sans MS" w:eastAsia="Comic Sans MS" w:hAnsi="Comic Sans MS" w:cs="Comic Sans MS"/>
          <w:sz w:val="24"/>
          <w:u w:val="single"/>
        </w:rPr>
      </w:pPr>
    </w:p>
    <w:p w14:paraId="57AE04F0" w14:textId="77777777" w:rsidR="00CE45BF" w:rsidRDefault="00CE45BF" w:rsidP="000B7C85">
      <w:pPr>
        <w:spacing w:after="0" w:line="240" w:lineRule="auto"/>
        <w:jc w:val="both"/>
        <w:rPr>
          <w:rFonts w:ascii="Comic Sans MS" w:eastAsia="Comic Sans MS" w:hAnsi="Comic Sans MS" w:cs="Comic Sans MS"/>
          <w:sz w:val="24"/>
          <w:u w:val="single"/>
        </w:rPr>
      </w:pPr>
    </w:p>
    <w:p w14:paraId="4A004B65" w14:textId="77777777" w:rsidR="009349B8" w:rsidRPr="009349B8" w:rsidRDefault="009349B8" w:rsidP="009349B8">
      <w:pPr>
        <w:jc w:val="center"/>
        <w:rPr>
          <w:rFonts w:ascii="Comic Sans MS" w:hAnsi="Comic Sans MS" w:cs="Arial"/>
          <w:b/>
          <w:sz w:val="24"/>
          <w:szCs w:val="24"/>
          <w:u w:val="single"/>
        </w:rPr>
      </w:pPr>
      <w:r w:rsidRPr="009349B8">
        <w:rPr>
          <w:rFonts w:ascii="Comic Sans MS" w:hAnsi="Comic Sans MS" w:cs="Arial"/>
          <w:b/>
          <w:sz w:val="24"/>
          <w:szCs w:val="24"/>
          <w:u w:val="single"/>
        </w:rPr>
        <w:lastRenderedPageBreak/>
        <w:t>Dealing with Allegations of Abuse Against Teachers and other Staff</w:t>
      </w:r>
    </w:p>
    <w:p w14:paraId="0859443A" w14:textId="77777777" w:rsidR="009349B8" w:rsidRPr="009349B8" w:rsidRDefault="009349B8" w:rsidP="009349B8">
      <w:pPr>
        <w:jc w:val="center"/>
        <w:rPr>
          <w:rFonts w:ascii="Comic Sans MS" w:hAnsi="Comic Sans MS" w:cs="Arial"/>
          <w:b/>
          <w:sz w:val="24"/>
          <w:szCs w:val="24"/>
        </w:rPr>
      </w:pPr>
    </w:p>
    <w:p w14:paraId="639B1313"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 xml:space="preserve">These procedures outline the initial response to an allegation of abuse against a teacher or another member of staff. For more detailed guidance, particularly action following the outcome of an initial investigation reference must be made to the </w:t>
      </w:r>
      <w:hyperlink r:id="rId9" w:history="1">
        <w:r w:rsidRPr="009349B8">
          <w:rPr>
            <w:rStyle w:val="Hyperlink"/>
            <w:rFonts w:ascii="Comic Sans MS" w:hAnsi="Comic Sans MS" w:cs="Arial"/>
            <w:b/>
            <w:sz w:val="24"/>
            <w:szCs w:val="24"/>
          </w:rPr>
          <w:t>DfE Guidance</w:t>
        </w:r>
      </w:hyperlink>
      <w:r w:rsidRPr="009349B8">
        <w:rPr>
          <w:rFonts w:ascii="Comic Sans MS" w:hAnsi="Comic Sans MS" w:cs="Arial"/>
          <w:b/>
          <w:sz w:val="24"/>
          <w:szCs w:val="24"/>
        </w:rPr>
        <w:t>.</w:t>
      </w:r>
    </w:p>
    <w:p w14:paraId="4F37ADF9"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Introduction</w:t>
      </w:r>
    </w:p>
    <w:p w14:paraId="2619FCC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St. Mary’s Primary School takes its responsibility of care for its students seriously and fully endorses the principles and practice of Every Child Matters. We recognise that any possibility that a member of staff may have hurt a student must be investigated thoroughly, but in a way that does not prejudice either the student or the member of staff. Any investigation of an allegation of abuse against a member of staff must follow the objective, professional standards and routines described here. </w:t>
      </w:r>
    </w:p>
    <w:p w14:paraId="4E033788"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Allegations of abuse against staff should not be dealt with under the school’s general complaints procedure.</w:t>
      </w:r>
    </w:p>
    <w:p w14:paraId="6C76430E" w14:textId="77777777" w:rsidR="009349B8" w:rsidRPr="009349B8" w:rsidRDefault="009349B8" w:rsidP="009349B8">
      <w:pPr>
        <w:jc w:val="both"/>
        <w:rPr>
          <w:rFonts w:ascii="Comic Sans MS" w:hAnsi="Comic Sans MS" w:cs="Arial"/>
          <w:sz w:val="24"/>
          <w:szCs w:val="24"/>
        </w:rPr>
      </w:pPr>
    </w:p>
    <w:p w14:paraId="0FF76A7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allegations of abuse by staff procedures are based on the following:</w:t>
      </w:r>
    </w:p>
    <w:p w14:paraId="21BB62B8" w14:textId="77777777" w:rsidR="009349B8" w:rsidRPr="009349B8" w:rsidRDefault="00000000" w:rsidP="009349B8">
      <w:pPr>
        <w:jc w:val="both"/>
        <w:rPr>
          <w:rFonts w:ascii="Comic Sans MS" w:hAnsi="Comic Sans MS" w:cs="Arial"/>
          <w:i/>
          <w:sz w:val="24"/>
          <w:szCs w:val="24"/>
        </w:rPr>
      </w:pPr>
      <w:hyperlink r:id="rId10" w:history="1">
        <w:r w:rsidR="009349B8" w:rsidRPr="009349B8">
          <w:rPr>
            <w:rStyle w:val="Hyperlink"/>
            <w:rFonts w:ascii="Comic Sans MS" w:hAnsi="Comic Sans MS" w:cs="Arial"/>
            <w:b/>
            <w:i/>
            <w:color w:val="00B0F0"/>
            <w:sz w:val="24"/>
            <w:szCs w:val="24"/>
          </w:rPr>
          <w:t>Safeguarding Children and Safer Recruitment in Education (Statutory Guidance from 1.1.07), Chapter 5</w:t>
        </w:r>
      </w:hyperlink>
    </w:p>
    <w:p w14:paraId="2CC6F56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framework for managing cases of allegations of abuse against people who work with children is set out in:</w:t>
      </w:r>
    </w:p>
    <w:p w14:paraId="67C0371E" w14:textId="77777777" w:rsidR="009349B8" w:rsidRPr="009349B8" w:rsidRDefault="00000000" w:rsidP="009349B8">
      <w:pPr>
        <w:jc w:val="both"/>
        <w:rPr>
          <w:rFonts w:ascii="Comic Sans MS" w:hAnsi="Comic Sans MS" w:cs="Arial"/>
          <w:i/>
          <w:sz w:val="24"/>
          <w:szCs w:val="24"/>
        </w:rPr>
      </w:pPr>
      <w:hyperlink r:id="rId11" w:history="1">
        <w:r w:rsidR="009349B8" w:rsidRPr="009349B8">
          <w:rPr>
            <w:rStyle w:val="Hyperlink"/>
            <w:rFonts w:ascii="Comic Sans MS" w:hAnsi="Comic Sans MS" w:cs="Arial"/>
            <w:b/>
            <w:i/>
            <w:color w:val="00B0F0"/>
            <w:sz w:val="24"/>
            <w:szCs w:val="24"/>
          </w:rPr>
          <w:t xml:space="preserve">Working together to Safeguard Children: A guide to inter-agency working to safeguard and promote the welfare of children (March 2010) </w:t>
        </w:r>
      </w:hyperlink>
    </w:p>
    <w:p w14:paraId="540F7288" w14:textId="77777777" w:rsidR="009349B8" w:rsidRPr="009349B8" w:rsidRDefault="009349B8" w:rsidP="009349B8">
      <w:pPr>
        <w:jc w:val="both"/>
        <w:rPr>
          <w:rFonts w:ascii="Comic Sans MS" w:hAnsi="Comic Sans MS" w:cs="Arial"/>
          <w:b/>
          <w:i/>
          <w:color w:val="00B0F0"/>
          <w:sz w:val="24"/>
          <w:szCs w:val="24"/>
        </w:rPr>
      </w:pPr>
      <w:r w:rsidRPr="009349B8">
        <w:rPr>
          <w:rFonts w:ascii="Comic Sans MS" w:hAnsi="Comic Sans MS" w:cs="Arial"/>
          <w:sz w:val="24"/>
          <w:szCs w:val="24"/>
        </w:rPr>
        <w:t xml:space="preserve">And </w:t>
      </w:r>
      <w:hyperlink r:id="rId12" w:history="1">
        <w:r w:rsidRPr="009349B8">
          <w:rPr>
            <w:rStyle w:val="Hyperlink"/>
            <w:rFonts w:ascii="Comic Sans MS" w:hAnsi="Comic Sans MS" w:cs="Arial"/>
            <w:b/>
            <w:i/>
            <w:color w:val="00B0F0"/>
            <w:sz w:val="24"/>
            <w:szCs w:val="24"/>
          </w:rPr>
          <w:t>Dealing with allegations of abuse against teachers and other staff: Guidance for local authorities, head teachers, school staff, governing bodies and proprietors of independent schools. DfE October 2012</w:t>
        </w:r>
      </w:hyperlink>
    </w:p>
    <w:p w14:paraId="6FA9B62D" w14:textId="77777777" w:rsidR="009349B8" w:rsidRDefault="009349B8" w:rsidP="009349B8">
      <w:pPr>
        <w:jc w:val="both"/>
        <w:rPr>
          <w:rFonts w:ascii="Comic Sans MS" w:hAnsi="Comic Sans MS" w:cs="Arial"/>
          <w:b/>
          <w:sz w:val="24"/>
          <w:szCs w:val="24"/>
        </w:rPr>
      </w:pPr>
    </w:p>
    <w:p w14:paraId="5CBED654" w14:textId="77777777" w:rsidR="009349B8" w:rsidRDefault="009349B8" w:rsidP="009349B8">
      <w:pPr>
        <w:jc w:val="both"/>
        <w:rPr>
          <w:rFonts w:ascii="Comic Sans MS" w:hAnsi="Comic Sans MS" w:cs="Arial"/>
          <w:b/>
          <w:sz w:val="24"/>
          <w:szCs w:val="24"/>
        </w:rPr>
      </w:pPr>
    </w:p>
    <w:p w14:paraId="203149A1" w14:textId="77777777" w:rsidR="009349B8" w:rsidRDefault="009349B8" w:rsidP="009349B8">
      <w:pPr>
        <w:jc w:val="both"/>
        <w:rPr>
          <w:rFonts w:ascii="Comic Sans MS" w:hAnsi="Comic Sans MS" w:cs="Arial"/>
          <w:b/>
          <w:sz w:val="24"/>
          <w:szCs w:val="24"/>
        </w:rPr>
      </w:pPr>
    </w:p>
    <w:p w14:paraId="1DE27BA9" w14:textId="77777777" w:rsidR="009349B8" w:rsidRPr="009349B8" w:rsidRDefault="009349B8" w:rsidP="009349B8">
      <w:pPr>
        <w:jc w:val="both"/>
        <w:rPr>
          <w:rFonts w:ascii="Comic Sans MS" w:hAnsi="Comic Sans MS" w:cs="Arial"/>
          <w:b/>
          <w:sz w:val="24"/>
          <w:szCs w:val="24"/>
        </w:rPr>
      </w:pPr>
    </w:p>
    <w:p w14:paraId="14AEB187"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Initial allegation made to the school</w:t>
      </w:r>
    </w:p>
    <w:p w14:paraId="0CDD453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Any allegation of abuse of a student by a teacher must be reported to the designated school Child Protection Officer, Mary Morris. Should the initial allegation first be made to any other member of staff, then that member of staff must either request the person raising the allegation to report it to the Child Protection Officer or if that is not possible to pass details of the allegation to the Child Protection Officer immediately. </w:t>
      </w:r>
    </w:p>
    <w:p w14:paraId="1FB3FE4F"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Should the allegation be made against the Child Protection Officer than this should be brought to the attention of the Chair of Governors immediately.</w:t>
      </w:r>
    </w:p>
    <w:p w14:paraId="572FD532" w14:textId="77777777" w:rsidR="009349B8" w:rsidRDefault="009349B8" w:rsidP="009349B8">
      <w:pPr>
        <w:jc w:val="both"/>
        <w:rPr>
          <w:rFonts w:ascii="Comic Sans MS" w:hAnsi="Comic Sans MS" w:cs="Arial"/>
          <w:sz w:val="24"/>
          <w:szCs w:val="24"/>
        </w:rPr>
      </w:pPr>
    </w:p>
    <w:p w14:paraId="6112B75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Should the allegation meet any of the following criteria then the Child Protection Officer should report the allegation to the </w:t>
      </w:r>
      <w:r w:rsidRPr="009349B8">
        <w:rPr>
          <w:rFonts w:ascii="Comic Sans MS" w:hAnsi="Comic Sans MS" w:cs="Arial"/>
          <w:b/>
          <w:color w:val="00B0F0"/>
          <w:sz w:val="24"/>
          <w:szCs w:val="24"/>
        </w:rPr>
        <w:t>L</w:t>
      </w:r>
      <w:r w:rsidRPr="009349B8">
        <w:rPr>
          <w:rFonts w:ascii="Comic Sans MS" w:hAnsi="Comic Sans MS" w:cs="Arial"/>
          <w:sz w:val="24"/>
          <w:szCs w:val="24"/>
        </w:rPr>
        <w:t xml:space="preserve">ocal </w:t>
      </w:r>
      <w:r w:rsidRPr="009349B8">
        <w:rPr>
          <w:rFonts w:ascii="Comic Sans MS" w:hAnsi="Comic Sans MS" w:cs="Arial"/>
          <w:b/>
          <w:color w:val="00B0F0"/>
          <w:sz w:val="24"/>
          <w:szCs w:val="24"/>
        </w:rPr>
        <w:t>A</w:t>
      </w:r>
      <w:r w:rsidRPr="009349B8">
        <w:rPr>
          <w:rFonts w:ascii="Comic Sans MS" w:hAnsi="Comic Sans MS" w:cs="Arial"/>
          <w:sz w:val="24"/>
          <w:szCs w:val="24"/>
        </w:rPr>
        <w:t>uthority</w:t>
      </w:r>
      <w:r w:rsidRPr="009349B8">
        <w:rPr>
          <w:rFonts w:ascii="Comic Sans MS" w:hAnsi="Comic Sans MS" w:cs="Arial"/>
          <w:b/>
          <w:color w:val="00B0F0"/>
          <w:sz w:val="24"/>
          <w:szCs w:val="24"/>
        </w:rPr>
        <w:t xml:space="preserve"> D</w:t>
      </w:r>
      <w:r w:rsidRPr="009349B8">
        <w:rPr>
          <w:rFonts w:ascii="Comic Sans MS" w:hAnsi="Comic Sans MS" w:cs="Arial"/>
          <w:sz w:val="24"/>
          <w:szCs w:val="24"/>
        </w:rPr>
        <w:t xml:space="preserve">esignated </w:t>
      </w:r>
      <w:r w:rsidRPr="009349B8">
        <w:rPr>
          <w:rFonts w:ascii="Comic Sans MS" w:hAnsi="Comic Sans MS" w:cs="Arial"/>
          <w:b/>
          <w:color w:val="00B0F0"/>
          <w:sz w:val="24"/>
          <w:szCs w:val="24"/>
        </w:rPr>
        <w:t>O</w:t>
      </w:r>
      <w:r w:rsidRPr="009349B8">
        <w:rPr>
          <w:rFonts w:ascii="Comic Sans MS" w:hAnsi="Comic Sans MS" w:cs="Arial"/>
          <w:sz w:val="24"/>
          <w:szCs w:val="24"/>
        </w:rPr>
        <w:t xml:space="preserve">fficer ( </w:t>
      </w:r>
      <w:r w:rsidRPr="009349B8">
        <w:rPr>
          <w:rFonts w:ascii="Comic Sans MS" w:hAnsi="Comic Sans MS" w:cs="Arial"/>
          <w:color w:val="FF0000"/>
          <w:sz w:val="24"/>
          <w:szCs w:val="24"/>
        </w:rPr>
        <w:t>Tim</w:t>
      </w:r>
      <w:r w:rsidRPr="009349B8">
        <w:rPr>
          <w:rFonts w:ascii="Comic Sans MS" w:hAnsi="Comic Sans MS" w:cs="Arial"/>
          <w:sz w:val="24"/>
          <w:szCs w:val="24"/>
        </w:rPr>
        <w:t xml:space="preserve"> </w:t>
      </w:r>
      <w:r w:rsidRPr="009349B8">
        <w:rPr>
          <w:rFonts w:ascii="Comic Sans MS" w:hAnsi="Comic Sans MS" w:cs="Arial"/>
          <w:color w:val="FF0000"/>
          <w:sz w:val="24"/>
          <w:szCs w:val="24"/>
        </w:rPr>
        <w:t xml:space="preserve">Booth, 01772 536694, </w:t>
      </w:r>
      <w:hyperlink r:id="rId13" w:history="1">
        <w:r w:rsidRPr="009349B8">
          <w:rPr>
            <w:rStyle w:val="Hyperlink"/>
            <w:rFonts w:ascii="Comic Sans MS" w:hAnsi="Comic Sans MS" w:cs="Arial"/>
            <w:color w:val="FF0000"/>
            <w:sz w:val="24"/>
            <w:szCs w:val="24"/>
          </w:rPr>
          <w:t>tim.booth@lancashire.gov.uk</w:t>
        </w:r>
      </w:hyperlink>
      <w:r w:rsidRPr="009349B8">
        <w:rPr>
          <w:rFonts w:ascii="Comic Sans MS" w:hAnsi="Comic Sans MS" w:cs="Arial"/>
          <w:sz w:val="24"/>
          <w:szCs w:val="24"/>
        </w:rPr>
        <w:t xml:space="preserve"> )the same day that the allegation is received that a teacher or member of staff or volunteer at the school has:</w:t>
      </w:r>
    </w:p>
    <w:p w14:paraId="2610EFE2"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in a way that has harmed a child, or may have harmed a child or;</w:t>
      </w:r>
    </w:p>
    <w:p w14:paraId="72CF7210"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possibly committed a criminal offence against or related to a child or;</w:t>
      </w:r>
    </w:p>
    <w:p w14:paraId="1B57BC29"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towards a child or children in a way that indicates s/he would pose a risk of harm if they work regularly or closely with children.</w:t>
      </w:r>
    </w:p>
    <w:p w14:paraId="0FDA3D8D" w14:textId="77777777" w:rsidR="009349B8" w:rsidRDefault="009349B8" w:rsidP="009349B8">
      <w:pPr>
        <w:jc w:val="both"/>
        <w:rPr>
          <w:rFonts w:ascii="Comic Sans MS" w:hAnsi="Comic Sans MS" w:cs="Arial"/>
          <w:sz w:val="24"/>
          <w:szCs w:val="24"/>
        </w:rPr>
      </w:pPr>
    </w:p>
    <w:p w14:paraId="4277F6BB" w14:textId="77777777" w:rsidR="009349B8" w:rsidRDefault="009349B8" w:rsidP="009349B8">
      <w:pPr>
        <w:jc w:val="both"/>
        <w:rPr>
          <w:rFonts w:ascii="Comic Sans MS" w:hAnsi="Comic Sans MS" w:cs="Arial"/>
          <w:sz w:val="24"/>
          <w:szCs w:val="24"/>
        </w:rPr>
      </w:pPr>
    </w:p>
    <w:p w14:paraId="0F4139BB" w14:textId="77777777" w:rsidR="009349B8" w:rsidRDefault="009349B8" w:rsidP="009349B8">
      <w:pPr>
        <w:jc w:val="both"/>
        <w:rPr>
          <w:rFonts w:ascii="Comic Sans MS" w:hAnsi="Comic Sans MS" w:cs="Arial"/>
          <w:sz w:val="24"/>
          <w:szCs w:val="24"/>
        </w:rPr>
      </w:pPr>
    </w:p>
    <w:p w14:paraId="54506D96" w14:textId="77777777" w:rsidR="009349B8" w:rsidRDefault="009349B8" w:rsidP="009349B8">
      <w:pPr>
        <w:jc w:val="both"/>
        <w:rPr>
          <w:rFonts w:ascii="Comic Sans MS" w:hAnsi="Comic Sans MS" w:cs="Arial"/>
          <w:sz w:val="24"/>
          <w:szCs w:val="24"/>
        </w:rPr>
      </w:pPr>
    </w:p>
    <w:p w14:paraId="2C88E53E" w14:textId="77777777" w:rsidR="009349B8" w:rsidRDefault="009349B8" w:rsidP="009349B8">
      <w:pPr>
        <w:jc w:val="both"/>
        <w:rPr>
          <w:rFonts w:ascii="Comic Sans MS" w:hAnsi="Comic Sans MS" w:cs="Arial"/>
          <w:sz w:val="24"/>
          <w:szCs w:val="24"/>
        </w:rPr>
      </w:pPr>
    </w:p>
    <w:p w14:paraId="1ACF3585" w14:textId="77777777" w:rsidR="009349B8" w:rsidRDefault="009349B8" w:rsidP="009349B8">
      <w:pPr>
        <w:jc w:val="both"/>
        <w:rPr>
          <w:rFonts w:ascii="Comic Sans MS" w:hAnsi="Comic Sans MS" w:cs="Arial"/>
          <w:sz w:val="24"/>
          <w:szCs w:val="24"/>
        </w:rPr>
      </w:pPr>
    </w:p>
    <w:p w14:paraId="1A44F96C" w14:textId="77777777" w:rsidR="009349B8" w:rsidRDefault="009349B8" w:rsidP="009349B8">
      <w:pPr>
        <w:jc w:val="both"/>
        <w:rPr>
          <w:rFonts w:ascii="Comic Sans MS" w:hAnsi="Comic Sans MS" w:cs="Arial"/>
          <w:sz w:val="24"/>
          <w:szCs w:val="24"/>
        </w:rPr>
      </w:pPr>
    </w:p>
    <w:p w14:paraId="6321705C" w14:textId="77777777" w:rsidR="009349B8" w:rsidRDefault="009349B8" w:rsidP="009349B8">
      <w:pPr>
        <w:jc w:val="both"/>
        <w:rPr>
          <w:rFonts w:ascii="Comic Sans MS" w:hAnsi="Comic Sans MS" w:cs="Arial"/>
          <w:sz w:val="24"/>
          <w:szCs w:val="24"/>
        </w:rPr>
      </w:pPr>
    </w:p>
    <w:p w14:paraId="14E0683E" w14:textId="77777777" w:rsidR="009349B8" w:rsidRDefault="009349B8" w:rsidP="009349B8">
      <w:pPr>
        <w:jc w:val="both"/>
        <w:rPr>
          <w:rFonts w:ascii="Comic Sans MS" w:hAnsi="Comic Sans MS" w:cs="Arial"/>
          <w:sz w:val="24"/>
          <w:szCs w:val="24"/>
        </w:rPr>
      </w:pPr>
    </w:p>
    <w:p w14:paraId="000BDECE" w14:textId="77777777" w:rsidR="009349B8" w:rsidRPr="009349B8" w:rsidRDefault="009349B8" w:rsidP="009349B8">
      <w:pPr>
        <w:jc w:val="both"/>
        <w:rPr>
          <w:rFonts w:ascii="Comic Sans MS" w:hAnsi="Comic Sans MS" w:cs="Arial"/>
          <w:sz w:val="24"/>
          <w:szCs w:val="24"/>
        </w:rPr>
      </w:pPr>
    </w:p>
    <w:p w14:paraId="626F34DD"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Initial Consideration</w:t>
      </w:r>
    </w:p>
    <w:p w14:paraId="5F4BECAF" w14:textId="77777777" w:rsidR="009349B8" w:rsidRPr="009349B8" w:rsidRDefault="009349B8" w:rsidP="009349B8">
      <w:pPr>
        <w:jc w:val="both"/>
        <w:rPr>
          <w:rFonts w:ascii="Comic Sans MS" w:hAnsi="Comic Sans MS" w:cs="Arial"/>
          <w:sz w:val="24"/>
          <w:szCs w:val="24"/>
        </w:rPr>
      </w:pPr>
    </w:p>
    <w:p w14:paraId="7EC3DA59"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The Child Protection Officer will discuss the matter with the ‘local authority designated officer’ (LADO) at Lancashire Social Services and provide any further details of the allegation and the circumstances in which it was made. </w:t>
      </w:r>
    </w:p>
    <w:p w14:paraId="3A9C944C"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The contacts details are: </w:t>
      </w:r>
    </w:p>
    <w:p w14:paraId="23F20D24" w14:textId="77777777" w:rsidR="009349B8" w:rsidRPr="009349B8" w:rsidRDefault="009349B8" w:rsidP="009349B8">
      <w:pPr>
        <w:ind w:left="1440" w:firstLine="720"/>
        <w:jc w:val="both"/>
        <w:rPr>
          <w:rFonts w:ascii="Comic Sans MS" w:hAnsi="Comic Sans MS" w:cs="Arial"/>
          <w:b/>
          <w:sz w:val="24"/>
          <w:szCs w:val="24"/>
        </w:rPr>
      </w:pPr>
      <w:r w:rsidRPr="009349B8">
        <w:rPr>
          <w:rFonts w:ascii="Comic Sans MS" w:hAnsi="Comic Sans MS" w:cs="Arial"/>
          <w:b/>
          <w:sz w:val="24"/>
          <w:szCs w:val="24"/>
        </w:rPr>
        <w:t xml:space="preserve">Name: </w:t>
      </w:r>
      <w:r w:rsidRPr="009349B8">
        <w:rPr>
          <w:rFonts w:ascii="Comic Sans MS" w:hAnsi="Comic Sans MS" w:cs="Arial"/>
          <w:b/>
          <w:color w:val="FF0000"/>
          <w:sz w:val="24"/>
          <w:szCs w:val="24"/>
        </w:rPr>
        <w:t>Tammy Twang</w:t>
      </w:r>
    </w:p>
    <w:p w14:paraId="17EED647" w14:textId="77777777" w:rsidR="009349B8" w:rsidRPr="009349B8" w:rsidRDefault="009349B8" w:rsidP="009349B8">
      <w:pPr>
        <w:ind w:left="2160"/>
        <w:jc w:val="both"/>
        <w:rPr>
          <w:rFonts w:ascii="Comic Sans MS" w:hAnsi="Comic Sans MS" w:cs="Arial"/>
          <w:b/>
          <w:sz w:val="24"/>
          <w:szCs w:val="24"/>
        </w:rPr>
      </w:pPr>
      <w:r w:rsidRPr="009349B8">
        <w:rPr>
          <w:rFonts w:ascii="Comic Sans MS" w:hAnsi="Comic Sans MS" w:cs="Arial"/>
          <w:b/>
          <w:sz w:val="24"/>
          <w:szCs w:val="24"/>
        </w:rPr>
        <w:t>Position:</w:t>
      </w:r>
      <w:r w:rsidRPr="009349B8">
        <w:rPr>
          <w:rFonts w:ascii="Comic Sans MS" w:hAnsi="Comic Sans MS" w:cs="Arial"/>
          <w:sz w:val="24"/>
          <w:szCs w:val="24"/>
        </w:rPr>
        <w:t xml:space="preserve"> Child Protection Officer </w:t>
      </w:r>
    </w:p>
    <w:p w14:paraId="409F1E1C" w14:textId="77777777" w:rsidR="009349B8" w:rsidRPr="009349B8" w:rsidRDefault="009349B8" w:rsidP="009349B8">
      <w:pPr>
        <w:ind w:left="2160"/>
        <w:jc w:val="both"/>
        <w:rPr>
          <w:rFonts w:ascii="Comic Sans MS" w:hAnsi="Comic Sans MS" w:cs="Arial"/>
          <w:b/>
          <w:sz w:val="24"/>
          <w:szCs w:val="24"/>
        </w:rPr>
      </w:pPr>
      <w:r w:rsidRPr="009349B8">
        <w:rPr>
          <w:rFonts w:ascii="Comic Sans MS" w:hAnsi="Comic Sans MS" w:cs="Arial"/>
          <w:b/>
          <w:sz w:val="24"/>
          <w:szCs w:val="24"/>
        </w:rPr>
        <w:t xml:space="preserve">Organisation: </w:t>
      </w:r>
      <w:r w:rsidRPr="009349B8">
        <w:rPr>
          <w:rFonts w:ascii="Comic Sans MS" w:hAnsi="Comic Sans MS" w:cs="Arial"/>
          <w:sz w:val="24"/>
          <w:szCs w:val="24"/>
        </w:rPr>
        <w:t>Lancashire County Council</w:t>
      </w:r>
    </w:p>
    <w:p w14:paraId="3352FA7B" w14:textId="77777777" w:rsidR="009349B8" w:rsidRPr="009349B8" w:rsidRDefault="009349B8" w:rsidP="009349B8">
      <w:pPr>
        <w:ind w:left="1440" w:firstLine="720"/>
        <w:jc w:val="both"/>
        <w:rPr>
          <w:rFonts w:ascii="Comic Sans MS" w:hAnsi="Comic Sans MS" w:cs="Arial"/>
          <w:sz w:val="24"/>
          <w:szCs w:val="24"/>
        </w:rPr>
      </w:pPr>
      <w:r w:rsidRPr="009349B8">
        <w:rPr>
          <w:rFonts w:ascii="Comic Sans MS" w:hAnsi="Comic Sans MS" w:cs="Arial"/>
          <w:b/>
          <w:sz w:val="24"/>
          <w:szCs w:val="24"/>
        </w:rPr>
        <w:t xml:space="preserve">Telephone number: </w:t>
      </w:r>
      <w:r w:rsidRPr="009349B8">
        <w:rPr>
          <w:rFonts w:ascii="Comic Sans MS" w:hAnsi="Comic Sans MS" w:cs="Helvetica"/>
          <w:color w:val="FF0000"/>
          <w:sz w:val="24"/>
          <w:szCs w:val="24"/>
        </w:rPr>
        <w:t>01772 531196</w:t>
      </w:r>
    </w:p>
    <w:p w14:paraId="11600027" w14:textId="77777777" w:rsidR="009349B8" w:rsidRPr="009349B8" w:rsidRDefault="009349B8" w:rsidP="009349B8">
      <w:pPr>
        <w:ind w:left="1440" w:firstLine="720"/>
        <w:jc w:val="both"/>
        <w:rPr>
          <w:rFonts w:ascii="Comic Sans MS" w:hAnsi="Comic Sans MS" w:cs="Arial"/>
          <w:color w:val="FF0000"/>
          <w:sz w:val="24"/>
          <w:szCs w:val="24"/>
        </w:rPr>
      </w:pPr>
      <w:r w:rsidRPr="009349B8">
        <w:rPr>
          <w:rFonts w:ascii="Comic Sans MS" w:hAnsi="Comic Sans MS" w:cs="Arial"/>
          <w:b/>
          <w:sz w:val="24"/>
          <w:szCs w:val="24"/>
        </w:rPr>
        <w:t>Email address:</w:t>
      </w:r>
      <w:r w:rsidRPr="009349B8">
        <w:rPr>
          <w:rFonts w:ascii="Comic Sans MS" w:hAnsi="Comic Sans MS" w:cs="Arial"/>
          <w:sz w:val="24"/>
          <w:szCs w:val="24"/>
        </w:rPr>
        <w:t xml:space="preserve"> </w:t>
      </w:r>
      <w:r w:rsidRPr="009349B8">
        <w:rPr>
          <w:rFonts w:ascii="Comic Sans MS" w:hAnsi="Comic Sans MS" w:cs="Arial"/>
          <w:color w:val="FF0000"/>
          <w:sz w:val="24"/>
          <w:szCs w:val="24"/>
        </w:rPr>
        <w:t>tammy.tywang@lancashire.gov.uk</w:t>
      </w:r>
    </w:p>
    <w:p w14:paraId="2AF285E0" w14:textId="77777777" w:rsidR="009349B8" w:rsidRPr="009349B8" w:rsidRDefault="009349B8" w:rsidP="009349B8">
      <w:pPr>
        <w:jc w:val="both"/>
        <w:rPr>
          <w:rFonts w:ascii="Comic Sans MS" w:hAnsi="Comic Sans MS" w:cs="Arial"/>
          <w:sz w:val="24"/>
          <w:szCs w:val="24"/>
        </w:rPr>
      </w:pPr>
    </w:p>
    <w:p w14:paraId="3506B493"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The Child Protection Officer should not investigate the allegation at this stage.</w:t>
      </w:r>
      <w:r w:rsidRPr="009349B8">
        <w:rPr>
          <w:rFonts w:ascii="Comic Sans MS" w:hAnsi="Comic Sans MS" w:cs="Arial"/>
          <w:sz w:val="24"/>
          <w:szCs w:val="24"/>
        </w:rPr>
        <w:t xml:space="preserve"> The discussion will also consider whether there is evidence or information that establishes that the allegation is false or unfounded. </w:t>
      </w:r>
    </w:p>
    <w:p w14:paraId="5D4A28D8" w14:textId="77777777" w:rsidR="009349B8" w:rsidRPr="009349B8" w:rsidRDefault="009349B8" w:rsidP="009349B8">
      <w:pPr>
        <w:jc w:val="both"/>
        <w:rPr>
          <w:rFonts w:ascii="Comic Sans MS" w:hAnsi="Comic Sans MS" w:cs="Arial"/>
          <w:sz w:val="24"/>
          <w:szCs w:val="24"/>
        </w:rPr>
      </w:pPr>
    </w:p>
    <w:p w14:paraId="010DBE3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If the allegation is not patently false and there is cause to suspect that a child is suffering or is likely to suffer significant harm</w:t>
      </w:r>
      <w:r w:rsidRPr="009349B8">
        <w:rPr>
          <w:rFonts w:ascii="Comic Sans MS" w:hAnsi="Comic Sans MS" w:cs="Arial"/>
          <w:sz w:val="24"/>
          <w:szCs w:val="24"/>
        </w:rPr>
        <w:t>, the local authority designated officer will immediately refer to children’s social care and ask for a strategy discussion in accordance with Working Together to Safeguard Children to be convened straight away. In those circumstances the strategy discussion should include the local authority designated officer and the Child Protection Officer.</w:t>
      </w:r>
    </w:p>
    <w:p w14:paraId="0746EBFF" w14:textId="77777777" w:rsidR="009349B8" w:rsidRPr="009349B8" w:rsidRDefault="009349B8" w:rsidP="009349B8">
      <w:pPr>
        <w:jc w:val="both"/>
        <w:rPr>
          <w:rFonts w:ascii="Comic Sans MS" w:hAnsi="Comic Sans MS" w:cs="Arial"/>
          <w:sz w:val="24"/>
          <w:szCs w:val="24"/>
        </w:rPr>
      </w:pPr>
    </w:p>
    <w:p w14:paraId="46D848F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there is not cause to suspect that “significant harm” is an issue, but a criminal offence might have been committed, the local authority designated officer should immediately inform the police and convene a similar discussion to decide whether a police investigation is needed. That discussion will also involve the school and any other agencies involved with the child.</w:t>
      </w:r>
    </w:p>
    <w:p w14:paraId="7273FAF7" w14:textId="77777777" w:rsidR="009349B8" w:rsidRPr="009349B8" w:rsidRDefault="009349B8" w:rsidP="009349B8">
      <w:pPr>
        <w:jc w:val="both"/>
        <w:rPr>
          <w:rFonts w:ascii="Comic Sans MS" w:hAnsi="Comic Sans MS" w:cs="Arial"/>
          <w:sz w:val="24"/>
          <w:szCs w:val="24"/>
        </w:rPr>
      </w:pPr>
    </w:p>
    <w:p w14:paraId="666FC5F9" w14:textId="77777777" w:rsidR="009349B8" w:rsidRPr="009349B8" w:rsidRDefault="009349B8" w:rsidP="009349B8">
      <w:pPr>
        <w:jc w:val="both"/>
        <w:rPr>
          <w:rFonts w:ascii="Comic Sans MS" w:hAnsi="Comic Sans MS" w:cs="Arial"/>
          <w:sz w:val="24"/>
          <w:szCs w:val="24"/>
        </w:rPr>
      </w:pPr>
    </w:p>
    <w:p w14:paraId="690ABF31" w14:textId="77777777" w:rsidR="009349B8" w:rsidRPr="009349B8" w:rsidRDefault="009349B8" w:rsidP="009349B8">
      <w:pPr>
        <w:jc w:val="both"/>
        <w:rPr>
          <w:rFonts w:ascii="Comic Sans MS" w:hAnsi="Comic Sans MS" w:cs="Arial"/>
          <w:sz w:val="24"/>
          <w:szCs w:val="24"/>
        </w:rPr>
      </w:pPr>
    </w:p>
    <w:p w14:paraId="5C559D8E"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Action following initial consideration</w:t>
      </w:r>
    </w:p>
    <w:p w14:paraId="5B8A39DC"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Where the initial consideration decides that the allegation does not involve a possible criminal offence it will be for the Child Protection Officer to deal with it in consultation with School Governors</w:t>
      </w:r>
      <w:r w:rsidRPr="009349B8">
        <w:rPr>
          <w:rStyle w:val="FootnoteReference"/>
          <w:rFonts w:ascii="Comic Sans MS" w:hAnsi="Comic Sans MS" w:cs="Arial"/>
          <w:sz w:val="24"/>
          <w:szCs w:val="24"/>
        </w:rPr>
        <w:footnoteReference w:id="1"/>
      </w:r>
      <w:r w:rsidRPr="009349B8">
        <w:rPr>
          <w:rFonts w:ascii="Comic Sans MS" w:hAnsi="Comic Sans MS" w:cs="Arial"/>
          <w:sz w:val="24"/>
          <w:szCs w:val="24"/>
        </w:rPr>
        <w:t>. In such cases, if the nature of the allegation does not require formal disciplinary action appropriate action should be instituted within three working days. If a disciplinary hearing is required and can be held without further investigation, the hearing should be held within 15 working days.</w:t>
      </w:r>
    </w:p>
    <w:p w14:paraId="60DA8EA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Where further investigation is required to inform consideration of disciplinary action the Child Protection Officer and the School Governors should discuss who will undertake that with the local authority designated officer. </w:t>
      </w:r>
    </w:p>
    <w:p w14:paraId="3B9E8AEF" w14:textId="77777777" w:rsidR="009349B8" w:rsidRPr="009349B8" w:rsidRDefault="009349B8" w:rsidP="009349B8">
      <w:pPr>
        <w:jc w:val="both"/>
        <w:rPr>
          <w:rFonts w:ascii="Comic Sans MS" w:hAnsi="Comic Sans MS" w:cs="Arial"/>
          <w:sz w:val="24"/>
          <w:szCs w:val="24"/>
        </w:rPr>
      </w:pPr>
    </w:p>
    <w:p w14:paraId="4C44C180"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investigating officer should aim to provide a report to the employer within 10 working days.</w:t>
      </w:r>
    </w:p>
    <w:p w14:paraId="04C01AB4" w14:textId="77777777" w:rsidR="009349B8" w:rsidRPr="009349B8" w:rsidRDefault="009349B8" w:rsidP="009349B8">
      <w:pPr>
        <w:jc w:val="both"/>
        <w:rPr>
          <w:rFonts w:ascii="Comic Sans MS" w:hAnsi="Comic Sans MS" w:cs="Arial"/>
          <w:sz w:val="24"/>
          <w:szCs w:val="24"/>
        </w:rPr>
      </w:pPr>
    </w:p>
    <w:p w14:paraId="58CD1EA4" w14:textId="77777777" w:rsidR="009349B8" w:rsidRPr="009349B8" w:rsidRDefault="009349B8" w:rsidP="009349B8">
      <w:pPr>
        <w:pStyle w:val="Default"/>
        <w:rPr>
          <w:rFonts w:ascii="Comic Sans MS" w:hAnsi="Comic Sans MS"/>
          <w:color w:val="auto"/>
        </w:rPr>
      </w:pPr>
      <w:r w:rsidRPr="009349B8">
        <w:rPr>
          <w:rFonts w:ascii="Comic Sans MS" w:hAnsi="Comic Sans MS"/>
          <w:color w:val="auto"/>
        </w:rPr>
        <w:t xml:space="preserve">The following definitions should be used when determining the outcome of allegation investigations: </w:t>
      </w:r>
    </w:p>
    <w:p w14:paraId="501D5CB5" w14:textId="77777777" w:rsidR="009349B8" w:rsidRPr="009349B8" w:rsidRDefault="009349B8" w:rsidP="009349B8">
      <w:pPr>
        <w:pStyle w:val="Default"/>
        <w:rPr>
          <w:rFonts w:ascii="Comic Sans MS" w:hAnsi="Comic Sans MS"/>
          <w:color w:val="auto"/>
        </w:rPr>
      </w:pPr>
    </w:p>
    <w:p w14:paraId="117A7182"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a. </w:t>
      </w:r>
      <w:r w:rsidRPr="009349B8">
        <w:rPr>
          <w:rFonts w:ascii="Comic Sans MS" w:hAnsi="Comic Sans MS"/>
          <w:b/>
          <w:bCs/>
          <w:i/>
          <w:iCs/>
          <w:color w:val="auto"/>
        </w:rPr>
        <w:t xml:space="preserve">Substantiated: </w:t>
      </w:r>
      <w:r w:rsidRPr="009349B8">
        <w:rPr>
          <w:rFonts w:ascii="Comic Sans MS" w:hAnsi="Comic Sans MS"/>
          <w:color w:val="auto"/>
        </w:rPr>
        <w:t xml:space="preserve">there is sufficient identifiable evidence to prove the allegation; </w:t>
      </w:r>
    </w:p>
    <w:p w14:paraId="21615554" w14:textId="77777777" w:rsidR="009349B8" w:rsidRPr="009349B8" w:rsidRDefault="009349B8" w:rsidP="009349B8">
      <w:pPr>
        <w:pStyle w:val="Default"/>
        <w:ind w:left="720"/>
        <w:rPr>
          <w:rFonts w:ascii="Comic Sans MS" w:hAnsi="Comic Sans MS"/>
          <w:color w:val="auto"/>
        </w:rPr>
      </w:pPr>
    </w:p>
    <w:p w14:paraId="2E134DD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b. </w:t>
      </w:r>
      <w:r w:rsidRPr="009349B8">
        <w:rPr>
          <w:rFonts w:ascii="Comic Sans MS" w:hAnsi="Comic Sans MS"/>
          <w:b/>
          <w:bCs/>
          <w:i/>
          <w:iCs/>
          <w:color w:val="auto"/>
        </w:rPr>
        <w:t>False</w:t>
      </w:r>
      <w:r w:rsidRPr="009349B8">
        <w:rPr>
          <w:rFonts w:ascii="Comic Sans MS" w:hAnsi="Comic Sans MS"/>
          <w:b/>
          <w:bCs/>
          <w:color w:val="auto"/>
        </w:rPr>
        <w:t xml:space="preserve">: </w:t>
      </w:r>
      <w:r w:rsidRPr="009349B8">
        <w:rPr>
          <w:rFonts w:ascii="Comic Sans MS" w:hAnsi="Comic Sans MS"/>
          <w:color w:val="auto"/>
        </w:rPr>
        <w:t xml:space="preserve">there is sufficient evidence to disprove the allegation; </w:t>
      </w:r>
    </w:p>
    <w:p w14:paraId="359DC7CF" w14:textId="77777777" w:rsidR="009349B8" w:rsidRPr="009349B8" w:rsidRDefault="009349B8" w:rsidP="009349B8">
      <w:pPr>
        <w:pStyle w:val="Default"/>
        <w:ind w:left="720"/>
        <w:rPr>
          <w:rFonts w:ascii="Comic Sans MS" w:hAnsi="Comic Sans MS"/>
          <w:color w:val="auto"/>
        </w:rPr>
      </w:pPr>
    </w:p>
    <w:p w14:paraId="01072B77"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c. </w:t>
      </w:r>
      <w:r w:rsidRPr="009349B8">
        <w:rPr>
          <w:rFonts w:ascii="Comic Sans MS" w:hAnsi="Comic Sans MS"/>
          <w:b/>
          <w:bCs/>
          <w:i/>
          <w:iCs/>
          <w:color w:val="auto"/>
        </w:rPr>
        <w:t>Malicious</w:t>
      </w:r>
      <w:r w:rsidRPr="009349B8">
        <w:rPr>
          <w:rFonts w:ascii="Comic Sans MS" w:hAnsi="Comic Sans MS"/>
          <w:i/>
          <w:iCs/>
          <w:color w:val="auto"/>
        </w:rPr>
        <w:t xml:space="preserve">: </w:t>
      </w:r>
      <w:r w:rsidRPr="009349B8">
        <w:rPr>
          <w:rFonts w:ascii="Comic Sans MS" w:hAnsi="Comic Sans MS"/>
          <w:color w:val="auto"/>
        </w:rPr>
        <w:t xml:space="preserve">there is clear evidence to prove there has been a deliberate act to deceive and the allegation is entirely false; </w:t>
      </w:r>
    </w:p>
    <w:p w14:paraId="0B1B30DA" w14:textId="77777777" w:rsidR="009349B8" w:rsidRPr="009349B8" w:rsidRDefault="009349B8" w:rsidP="009349B8">
      <w:pPr>
        <w:pStyle w:val="Default"/>
        <w:ind w:left="720"/>
        <w:rPr>
          <w:rFonts w:ascii="Comic Sans MS" w:hAnsi="Comic Sans MS"/>
          <w:color w:val="auto"/>
        </w:rPr>
      </w:pPr>
    </w:p>
    <w:p w14:paraId="2D2DCCA7"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d. </w:t>
      </w:r>
      <w:r w:rsidRPr="009349B8">
        <w:rPr>
          <w:rFonts w:ascii="Comic Sans MS" w:hAnsi="Comic Sans MS"/>
          <w:b/>
          <w:bCs/>
          <w:i/>
          <w:iCs/>
          <w:color w:val="auto"/>
        </w:rPr>
        <w:t>Unfounded</w:t>
      </w:r>
      <w:r w:rsidRPr="009349B8">
        <w:rPr>
          <w:rFonts w:ascii="Comic Sans MS" w:hAnsi="Comic Sans MS"/>
          <w:i/>
          <w:iCs/>
          <w:color w:val="auto"/>
        </w:rPr>
        <w:t xml:space="preserve">: </w:t>
      </w:r>
      <w:r w:rsidRPr="009349B8">
        <w:rPr>
          <w:rFonts w:ascii="Comic Sans MS" w:hAnsi="Comic Sans MS"/>
          <w:color w:val="auto"/>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5110DD26" w14:textId="77777777" w:rsidR="009349B8" w:rsidRPr="009349B8" w:rsidRDefault="009349B8" w:rsidP="009349B8">
      <w:pPr>
        <w:pStyle w:val="Default"/>
        <w:ind w:left="720"/>
        <w:rPr>
          <w:rFonts w:ascii="Comic Sans MS" w:hAnsi="Comic Sans MS"/>
          <w:color w:val="auto"/>
        </w:rPr>
      </w:pPr>
    </w:p>
    <w:p w14:paraId="0F00DF0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e </w:t>
      </w:r>
      <w:r w:rsidRPr="009349B8">
        <w:rPr>
          <w:rFonts w:ascii="Comic Sans MS" w:hAnsi="Comic Sans MS"/>
          <w:b/>
          <w:bCs/>
          <w:i/>
          <w:iCs/>
          <w:color w:val="auto"/>
        </w:rPr>
        <w:t>Unsubstantiated</w:t>
      </w:r>
      <w:r w:rsidRPr="009349B8">
        <w:rPr>
          <w:rFonts w:ascii="Comic Sans MS" w:hAnsi="Comic Sans MS"/>
          <w:color w:val="auto"/>
        </w:rPr>
        <w:t xml:space="preserve">: this is not the same as a false allegation. It means that there is insufficient evidence to prove or disprove the allegation. The term, therefore, does not imply guilt or innocence. </w:t>
      </w:r>
    </w:p>
    <w:p w14:paraId="2F78ADAA" w14:textId="77777777" w:rsidR="009349B8" w:rsidRPr="009349B8" w:rsidRDefault="009349B8" w:rsidP="009349B8">
      <w:pPr>
        <w:jc w:val="both"/>
        <w:rPr>
          <w:rFonts w:ascii="Comic Sans MS" w:hAnsi="Comic Sans MS" w:cs="Arial"/>
          <w:sz w:val="24"/>
          <w:szCs w:val="24"/>
        </w:rPr>
      </w:pPr>
    </w:p>
    <w:p w14:paraId="43AB2D59" w14:textId="77777777" w:rsidR="009349B8" w:rsidRPr="009349B8" w:rsidRDefault="009349B8" w:rsidP="009349B8">
      <w:pPr>
        <w:jc w:val="both"/>
        <w:rPr>
          <w:rFonts w:ascii="Comic Sans MS" w:hAnsi="Comic Sans MS" w:cs="Arial"/>
          <w:sz w:val="24"/>
          <w:szCs w:val="24"/>
        </w:rPr>
      </w:pPr>
    </w:p>
    <w:p w14:paraId="18F779F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On receipt of the report of the disciplinary investigation, the Child Protection Officer and the School Governors should consult the local authority designated officer, and decide whether a disciplinary hearing is needed within two working days. If a hearing is needed it should be held within 15 working days.</w:t>
      </w:r>
    </w:p>
    <w:p w14:paraId="690EA8E8" w14:textId="77777777" w:rsidR="009349B8" w:rsidRPr="009349B8" w:rsidRDefault="009349B8" w:rsidP="009349B8">
      <w:pPr>
        <w:autoSpaceDE w:val="0"/>
        <w:autoSpaceDN w:val="0"/>
        <w:adjustRightInd w:val="0"/>
        <w:jc w:val="both"/>
        <w:rPr>
          <w:rFonts w:ascii="Comic Sans MS" w:hAnsi="Comic Sans MS" w:cs="Arial"/>
          <w:b/>
          <w:bCs/>
          <w:sz w:val="24"/>
          <w:szCs w:val="24"/>
        </w:rPr>
      </w:pPr>
    </w:p>
    <w:p w14:paraId="7272C49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In any case in which children’s social care has undertaken enquiries to determine whether the child or children are in need of protection, the School Governors and Chair of Governors should take account of any relevant information obtained in the course of those enquiries when considering disciplinary action.</w:t>
      </w:r>
    </w:p>
    <w:p w14:paraId="37EDB04C" w14:textId="77777777" w:rsidR="009349B8" w:rsidRDefault="009349B8" w:rsidP="009349B8">
      <w:pPr>
        <w:jc w:val="both"/>
        <w:rPr>
          <w:rFonts w:ascii="Comic Sans MS" w:hAnsi="Comic Sans MS" w:cs="Arial"/>
          <w:sz w:val="24"/>
          <w:szCs w:val="24"/>
        </w:rPr>
      </w:pPr>
    </w:p>
    <w:p w14:paraId="349137C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local authority designated officer should continue to liaise with the school to monitor progress of the case and provide advice or support when required or requested.</w:t>
      </w:r>
    </w:p>
    <w:p w14:paraId="4216149A" w14:textId="77777777" w:rsidR="009349B8" w:rsidRPr="009349B8" w:rsidRDefault="009349B8" w:rsidP="009349B8">
      <w:pPr>
        <w:jc w:val="both"/>
        <w:rPr>
          <w:rFonts w:ascii="Comic Sans MS" w:hAnsi="Comic Sans MS" w:cs="Arial"/>
          <w:sz w:val="24"/>
          <w:szCs w:val="24"/>
        </w:rPr>
      </w:pPr>
    </w:p>
    <w:p w14:paraId="64213814"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Case subject to police investigation</w:t>
      </w:r>
    </w:p>
    <w:p w14:paraId="697132D3" w14:textId="77777777" w:rsidR="009349B8" w:rsidRPr="009349B8" w:rsidRDefault="009349B8" w:rsidP="009349B8">
      <w:pPr>
        <w:jc w:val="both"/>
        <w:rPr>
          <w:rFonts w:ascii="Comic Sans MS" w:hAnsi="Comic Sans MS" w:cs="Arial"/>
          <w:sz w:val="24"/>
          <w:szCs w:val="24"/>
        </w:rPr>
      </w:pPr>
    </w:p>
    <w:p w14:paraId="36B7C78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 police and/or Crown Prosecution Service decide not to charge the individual with an offence, or decide to administer a caution, or the person is acquitted by a Court, the police should wherever possible aim to pass all information they have which may be relevant to a disciplinary case to the Principal within three working days of the decision. In those circumstances the Principal and the local authority designated officer should proceed as described above.</w:t>
      </w:r>
    </w:p>
    <w:p w14:paraId="436D8D8F" w14:textId="77777777" w:rsidR="009349B8" w:rsidRPr="009349B8" w:rsidRDefault="009349B8" w:rsidP="009349B8">
      <w:pPr>
        <w:jc w:val="both"/>
        <w:rPr>
          <w:rFonts w:ascii="Comic Sans MS" w:hAnsi="Comic Sans MS" w:cs="Arial"/>
          <w:sz w:val="24"/>
          <w:szCs w:val="24"/>
        </w:rPr>
      </w:pPr>
    </w:p>
    <w:p w14:paraId="5CDC7DC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In any case in which children’s social care has undertaken enquiries to determine whether the child or children are in need of protection, any information obtained in the course of those enquiries which is relevant to a disciplinary case should also be passed to the school and the Principal should request this information.</w:t>
      </w:r>
    </w:p>
    <w:p w14:paraId="11D29C3B" w14:textId="77777777" w:rsidR="009349B8" w:rsidRDefault="009349B8" w:rsidP="009349B8">
      <w:pPr>
        <w:jc w:val="both"/>
        <w:rPr>
          <w:rFonts w:ascii="Comic Sans MS" w:hAnsi="Comic Sans MS" w:cs="Arial"/>
          <w:sz w:val="24"/>
          <w:szCs w:val="24"/>
        </w:rPr>
      </w:pPr>
    </w:p>
    <w:p w14:paraId="57C041D9" w14:textId="77777777" w:rsidR="009349B8" w:rsidRDefault="009349B8" w:rsidP="009349B8">
      <w:pPr>
        <w:jc w:val="both"/>
        <w:rPr>
          <w:rFonts w:ascii="Comic Sans MS" w:hAnsi="Comic Sans MS" w:cs="Arial"/>
          <w:sz w:val="24"/>
          <w:szCs w:val="24"/>
        </w:rPr>
      </w:pPr>
    </w:p>
    <w:p w14:paraId="05AB0770" w14:textId="77777777" w:rsidR="009349B8" w:rsidRDefault="009349B8" w:rsidP="009349B8">
      <w:pPr>
        <w:jc w:val="both"/>
        <w:rPr>
          <w:rFonts w:ascii="Comic Sans MS" w:hAnsi="Comic Sans MS" w:cs="Arial"/>
          <w:sz w:val="24"/>
          <w:szCs w:val="24"/>
        </w:rPr>
      </w:pPr>
    </w:p>
    <w:p w14:paraId="0D4912DB" w14:textId="77777777" w:rsidR="009349B8" w:rsidRPr="009349B8" w:rsidRDefault="009349B8" w:rsidP="009349B8">
      <w:pPr>
        <w:jc w:val="both"/>
        <w:rPr>
          <w:rFonts w:ascii="Comic Sans MS" w:hAnsi="Comic Sans MS" w:cs="Arial"/>
          <w:sz w:val="24"/>
          <w:szCs w:val="24"/>
        </w:rPr>
      </w:pPr>
    </w:p>
    <w:p w14:paraId="476513C1"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Supporting those involved</w:t>
      </w:r>
    </w:p>
    <w:p w14:paraId="0BB3B5CC" w14:textId="77777777" w:rsidR="009349B8" w:rsidRPr="009349B8" w:rsidRDefault="009349B8" w:rsidP="009349B8">
      <w:pPr>
        <w:jc w:val="both"/>
        <w:rPr>
          <w:rFonts w:ascii="Comic Sans MS" w:hAnsi="Comic Sans MS" w:cs="Arial"/>
          <w:b/>
          <w:sz w:val="24"/>
          <w:szCs w:val="24"/>
        </w:rPr>
      </w:pPr>
    </w:p>
    <w:p w14:paraId="08520F0E"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Employers have a duty of care to their employees. They should act to manage and minimise the stress inherent in the allegations process. Support for the individual is key to fulfilling this duty. Individuals should be informed of concerns or allegations as soon as possible and given an explanation of the likely course of action, unless there is an objection by the children’s social care services or the police.</w:t>
      </w:r>
    </w:p>
    <w:p w14:paraId="4F184B8D" w14:textId="77777777" w:rsidR="009349B8" w:rsidRPr="009349B8" w:rsidRDefault="009349B8" w:rsidP="009349B8">
      <w:pPr>
        <w:jc w:val="both"/>
        <w:rPr>
          <w:rFonts w:ascii="Comic Sans MS" w:hAnsi="Comic Sans MS" w:cs="Arial"/>
          <w:sz w:val="24"/>
          <w:szCs w:val="24"/>
        </w:rPr>
      </w:pPr>
    </w:p>
    <w:p w14:paraId="7217344A"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person who is the subject of the allegation should be kept informed of the progress of the case and consideration should be given to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7F3DF370" w14:textId="77777777" w:rsidR="009349B8" w:rsidRPr="009349B8" w:rsidRDefault="009349B8" w:rsidP="009349B8">
      <w:pPr>
        <w:jc w:val="both"/>
        <w:rPr>
          <w:rFonts w:ascii="Comic Sans MS" w:hAnsi="Comic Sans MS" w:cs="Arial"/>
          <w:sz w:val="24"/>
          <w:szCs w:val="24"/>
        </w:rPr>
      </w:pPr>
    </w:p>
    <w:p w14:paraId="06B119EF" w14:textId="77777777" w:rsid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Parents or carers of a child or children involved should be told about the allegation as soon as possible if they do not already know of it. However, where a strategy discussion is required, or police or children’s social care services need to be involved, the case manager should not do so until those agencies have been consulted and have agreed what information can be disclosed to the parents or carers. Parent or carers should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should be told the outcome in confidence. Parents and carers should also be made aware of the prohibition on reporting or publishing allegations about teachers in section </w:t>
      </w:r>
      <w:r w:rsidRPr="009349B8">
        <w:rPr>
          <w:rFonts w:ascii="Comic Sans MS" w:hAnsi="Comic Sans MS" w:cs="Arial"/>
          <w:color w:val="00B0F0"/>
          <w:sz w:val="24"/>
          <w:szCs w:val="24"/>
        </w:rPr>
        <w:t>141F of the Education Act 2002</w:t>
      </w:r>
      <w:r w:rsidRPr="009349B8">
        <w:rPr>
          <w:rFonts w:ascii="Comic Sans MS" w:hAnsi="Comic Sans MS" w:cs="Arial"/>
          <w:sz w:val="24"/>
          <w:szCs w:val="24"/>
        </w:rPr>
        <w:t xml:space="preserve">. If parents or carers wish to apply to the court to have reporting restrictions removed, they should be told to seek legal advice. In </w:t>
      </w:r>
      <w:r w:rsidRPr="009349B8">
        <w:rPr>
          <w:rFonts w:ascii="Comic Sans MS" w:hAnsi="Comic Sans MS" w:cs="Arial"/>
          <w:sz w:val="24"/>
          <w:szCs w:val="24"/>
        </w:rPr>
        <w:lastRenderedPageBreak/>
        <w:t>cases where a child may have suffered significant harm, or there may be a criminal prosecution, children’s social care services, or the police as appropriate, should consider what support the child or children involved may need.</w:t>
      </w:r>
    </w:p>
    <w:p w14:paraId="533C9E3F" w14:textId="77777777" w:rsidR="009349B8" w:rsidRPr="009349B8" w:rsidRDefault="009349B8" w:rsidP="009349B8">
      <w:pPr>
        <w:jc w:val="both"/>
        <w:rPr>
          <w:rFonts w:ascii="Comic Sans MS" w:hAnsi="Comic Sans MS" w:cs="Arial"/>
          <w:sz w:val="24"/>
          <w:szCs w:val="24"/>
        </w:rPr>
      </w:pPr>
    </w:p>
    <w:p w14:paraId="578FA81C"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Resignations and ‘compromise agreements’</w:t>
      </w:r>
    </w:p>
    <w:p w14:paraId="3D31101D" w14:textId="77777777" w:rsidR="009349B8" w:rsidRPr="009349B8" w:rsidRDefault="009349B8" w:rsidP="009349B8">
      <w:pPr>
        <w:jc w:val="both"/>
        <w:rPr>
          <w:rFonts w:ascii="Comic Sans MS" w:hAnsi="Comic Sans MS" w:cs="Arial"/>
          <w:b/>
          <w:sz w:val="24"/>
          <w:szCs w:val="24"/>
        </w:rPr>
      </w:pPr>
    </w:p>
    <w:p w14:paraId="1E440F7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 accused person resigns, or ceases to provide their services, this should not prevent an allegation being followed up in accordance with this guidance.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on the basis of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12F7EA" w14:textId="77777777" w:rsidR="009349B8" w:rsidRPr="009349B8" w:rsidRDefault="009349B8" w:rsidP="009349B8">
      <w:pPr>
        <w:jc w:val="both"/>
        <w:rPr>
          <w:rFonts w:ascii="Comic Sans MS" w:hAnsi="Comic Sans MS" w:cs="Arial"/>
          <w:sz w:val="24"/>
          <w:szCs w:val="24"/>
        </w:rPr>
      </w:pPr>
    </w:p>
    <w:p w14:paraId="56BDAD1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So-called ‘compromise agreements’, by which a person agrees to resign if the employer agrees not to pursue disciplinary action, and both parties agree a form of words to be used in any future reference, should not be used in these cases. Such an agreement will not prevent a thorough police investigation where that is appropriate. Nor can it override the statutory duty to make a referral to the Disclosure and Barring Service where circumstances require that.</w:t>
      </w:r>
    </w:p>
    <w:p w14:paraId="45A71AF6" w14:textId="77777777" w:rsidR="009349B8" w:rsidRDefault="009349B8" w:rsidP="009349B8">
      <w:pPr>
        <w:jc w:val="both"/>
        <w:rPr>
          <w:rFonts w:ascii="Comic Sans MS" w:hAnsi="Comic Sans MS" w:cs="Arial"/>
          <w:sz w:val="24"/>
          <w:szCs w:val="24"/>
        </w:rPr>
      </w:pPr>
    </w:p>
    <w:p w14:paraId="36C218A6" w14:textId="77777777" w:rsidR="009349B8" w:rsidRDefault="009349B8" w:rsidP="009349B8">
      <w:pPr>
        <w:jc w:val="both"/>
        <w:rPr>
          <w:rFonts w:ascii="Comic Sans MS" w:hAnsi="Comic Sans MS" w:cs="Arial"/>
          <w:sz w:val="24"/>
          <w:szCs w:val="24"/>
        </w:rPr>
      </w:pPr>
    </w:p>
    <w:p w14:paraId="4F386482" w14:textId="77777777" w:rsidR="009349B8" w:rsidRDefault="009349B8" w:rsidP="009349B8">
      <w:pPr>
        <w:jc w:val="both"/>
        <w:rPr>
          <w:rFonts w:ascii="Comic Sans MS" w:hAnsi="Comic Sans MS" w:cs="Arial"/>
          <w:sz w:val="24"/>
          <w:szCs w:val="24"/>
        </w:rPr>
      </w:pPr>
    </w:p>
    <w:p w14:paraId="41749EA7" w14:textId="77777777" w:rsidR="009349B8" w:rsidRDefault="009349B8" w:rsidP="009349B8">
      <w:pPr>
        <w:jc w:val="both"/>
        <w:rPr>
          <w:rFonts w:ascii="Comic Sans MS" w:hAnsi="Comic Sans MS" w:cs="Arial"/>
          <w:sz w:val="24"/>
          <w:szCs w:val="24"/>
        </w:rPr>
      </w:pPr>
    </w:p>
    <w:p w14:paraId="31F734D3" w14:textId="77777777" w:rsidR="009349B8" w:rsidRDefault="009349B8" w:rsidP="009349B8">
      <w:pPr>
        <w:jc w:val="both"/>
        <w:rPr>
          <w:rFonts w:ascii="Comic Sans MS" w:hAnsi="Comic Sans MS" w:cs="Arial"/>
          <w:sz w:val="24"/>
          <w:szCs w:val="24"/>
        </w:rPr>
      </w:pPr>
    </w:p>
    <w:p w14:paraId="73B2596B" w14:textId="77777777" w:rsidR="009349B8" w:rsidRDefault="009349B8" w:rsidP="009349B8">
      <w:pPr>
        <w:jc w:val="both"/>
        <w:rPr>
          <w:rFonts w:ascii="Comic Sans MS" w:hAnsi="Comic Sans MS" w:cs="Arial"/>
          <w:sz w:val="24"/>
          <w:szCs w:val="24"/>
        </w:rPr>
      </w:pPr>
    </w:p>
    <w:p w14:paraId="1C1D44C0" w14:textId="77777777" w:rsidR="009349B8" w:rsidRDefault="009349B8" w:rsidP="009349B8">
      <w:pPr>
        <w:jc w:val="both"/>
        <w:rPr>
          <w:rFonts w:ascii="Comic Sans MS" w:hAnsi="Comic Sans MS" w:cs="Arial"/>
          <w:sz w:val="24"/>
          <w:szCs w:val="24"/>
        </w:rPr>
      </w:pPr>
    </w:p>
    <w:p w14:paraId="29E33C5D" w14:textId="77777777" w:rsidR="009349B8" w:rsidRDefault="009349B8" w:rsidP="009349B8">
      <w:pPr>
        <w:jc w:val="both"/>
        <w:rPr>
          <w:rFonts w:ascii="Comic Sans MS" w:hAnsi="Comic Sans MS" w:cs="Arial"/>
          <w:sz w:val="24"/>
          <w:szCs w:val="24"/>
        </w:rPr>
      </w:pPr>
    </w:p>
    <w:p w14:paraId="0D8F819F" w14:textId="77777777" w:rsidR="009349B8" w:rsidRDefault="009349B8" w:rsidP="009349B8">
      <w:pPr>
        <w:jc w:val="both"/>
        <w:rPr>
          <w:rFonts w:ascii="Comic Sans MS" w:hAnsi="Comic Sans MS" w:cs="Arial"/>
          <w:sz w:val="24"/>
          <w:szCs w:val="24"/>
        </w:rPr>
      </w:pPr>
    </w:p>
    <w:p w14:paraId="556C6F53" w14:textId="77777777" w:rsidR="009349B8" w:rsidRPr="009349B8" w:rsidRDefault="009349B8" w:rsidP="009349B8">
      <w:pPr>
        <w:jc w:val="both"/>
        <w:rPr>
          <w:rFonts w:ascii="Comic Sans MS" w:hAnsi="Comic Sans MS" w:cs="Arial"/>
          <w:sz w:val="24"/>
          <w:szCs w:val="24"/>
        </w:rPr>
      </w:pPr>
    </w:p>
    <w:p w14:paraId="3BF7B6B1"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Record keeping</w:t>
      </w:r>
    </w:p>
    <w:p w14:paraId="29288197" w14:textId="77777777" w:rsidR="009349B8" w:rsidRPr="009349B8" w:rsidRDefault="009349B8" w:rsidP="009349B8">
      <w:pPr>
        <w:jc w:val="both"/>
        <w:rPr>
          <w:rFonts w:ascii="Comic Sans MS" w:hAnsi="Comic Sans MS" w:cs="Arial"/>
          <w:b/>
          <w:sz w:val="24"/>
          <w:szCs w:val="24"/>
        </w:rPr>
      </w:pPr>
    </w:p>
    <w:p w14:paraId="120036CE"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of the accused, and a copy provided to the person concerned.</w:t>
      </w:r>
    </w:p>
    <w:p w14:paraId="2D43321D" w14:textId="77777777" w:rsidR="009349B8" w:rsidRPr="009349B8" w:rsidRDefault="009349B8" w:rsidP="009349B8">
      <w:pPr>
        <w:jc w:val="both"/>
        <w:rPr>
          <w:rFonts w:ascii="Comic Sans MS" w:hAnsi="Comic Sans MS" w:cs="Arial"/>
          <w:sz w:val="24"/>
          <w:szCs w:val="24"/>
        </w:rPr>
      </w:pPr>
    </w:p>
    <w:p w14:paraId="05E63BA2"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retirement age or for a period of 10 years from the date of the allegation if that is longer.</w:t>
      </w:r>
    </w:p>
    <w:p w14:paraId="6C8A790F" w14:textId="77777777" w:rsidR="009349B8" w:rsidRPr="009349B8" w:rsidRDefault="009349B8" w:rsidP="009349B8">
      <w:pPr>
        <w:jc w:val="both"/>
        <w:rPr>
          <w:rFonts w:ascii="Comic Sans MS" w:hAnsi="Comic Sans MS" w:cs="Arial"/>
          <w:sz w:val="24"/>
          <w:szCs w:val="24"/>
        </w:rPr>
      </w:pPr>
    </w:p>
    <w:p w14:paraId="17533208"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Information Commissioner has published guidance on employment records in its Employment Practices Code and supplementary guidance, which provides some practical advice on employment retention.</w:t>
      </w:r>
    </w:p>
    <w:p w14:paraId="6DB320DD" w14:textId="77777777" w:rsidR="009349B8" w:rsidRPr="009349B8" w:rsidRDefault="009349B8" w:rsidP="009349B8">
      <w:pPr>
        <w:jc w:val="both"/>
        <w:rPr>
          <w:rFonts w:ascii="Comic Sans MS" w:hAnsi="Comic Sans MS" w:cs="Arial"/>
          <w:sz w:val="24"/>
          <w:szCs w:val="24"/>
        </w:rPr>
      </w:pPr>
    </w:p>
    <w:p w14:paraId="0C00B4D3"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References</w:t>
      </w:r>
    </w:p>
    <w:p w14:paraId="1225C3EB" w14:textId="77777777" w:rsidR="009349B8" w:rsidRPr="009349B8" w:rsidRDefault="009349B8" w:rsidP="009349B8">
      <w:pPr>
        <w:jc w:val="both"/>
        <w:rPr>
          <w:rFonts w:ascii="Comic Sans MS" w:hAnsi="Comic Sans MS" w:cs="Arial"/>
          <w:sz w:val="24"/>
          <w:szCs w:val="24"/>
        </w:rPr>
      </w:pPr>
    </w:p>
    <w:p w14:paraId="4DD9C9D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Cases in which an allegation was proven to be false, unsubstantiated, unfounded or malicious should not be included in employer references. A history of repeated concerns or allegations which have all been found to be unsubstantiated, malicious etc. should also not be included in any reference.</w:t>
      </w:r>
    </w:p>
    <w:p w14:paraId="372205AB" w14:textId="77777777" w:rsidR="009349B8" w:rsidRDefault="009349B8" w:rsidP="009349B8">
      <w:pPr>
        <w:rPr>
          <w:rFonts w:ascii="Comic Sans MS" w:hAnsi="Comic Sans MS"/>
          <w:sz w:val="24"/>
          <w:szCs w:val="24"/>
        </w:rPr>
      </w:pPr>
    </w:p>
    <w:p w14:paraId="2F40378E" w14:textId="4C7D952E" w:rsidR="009349B8" w:rsidRPr="009349B8" w:rsidRDefault="009349B8" w:rsidP="009349B8">
      <w:pPr>
        <w:rPr>
          <w:rFonts w:ascii="Comic Sans MS" w:hAnsi="Comic Sans MS"/>
          <w:sz w:val="24"/>
          <w:szCs w:val="24"/>
        </w:rPr>
      </w:pPr>
      <w:r>
        <w:rPr>
          <w:rFonts w:ascii="Comic Sans MS" w:hAnsi="Comic Sans MS"/>
          <w:sz w:val="24"/>
          <w:szCs w:val="24"/>
        </w:rPr>
        <w:lastRenderedPageBreak/>
        <w:t>Review</w:t>
      </w:r>
      <w:r w:rsidR="00E87848">
        <w:rPr>
          <w:rFonts w:ascii="Comic Sans MS" w:hAnsi="Comic Sans MS"/>
          <w:sz w:val="24"/>
          <w:szCs w:val="24"/>
        </w:rPr>
        <w:t>ed</w:t>
      </w:r>
      <w:r>
        <w:rPr>
          <w:rFonts w:ascii="Comic Sans MS" w:hAnsi="Comic Sans MS"/>
          <w:sz w:val="24"/>
          <w:szCs w:val="24"/>
        </w:rPr>
        <w:t xml:space="preserve"> Annually</w:t>
      </w:r>
    </w:p>
    <w:sectPr w:rsidR="009349B8" w:rsidRPr="009349B8" w:rsidSect="00FF279E">
      <w:footerReference w:type="even" r:id="rId14"/>
      <w:footerReference w:type="default" r:id="rId15"/>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7895" w14:textId="77777777" w:rsidR="00A508C9" w:rsidRDefault="00A508C9" w:rsidP="00CE45BF">
      <w:pPr>
        <w:spacing w:after="0" w:line="240" w:lineRule="auto"/>
      </w:pPr>
      <w:r>
        <w:separator/>
      </w:r>
    </w:p>
  </w:endnote>
  <w:endnote w:type="continuationSeparator" w:id="0">
    <w:p w14:paraId="440256CC" w14:textId="77777777" w:rsidR="00A508C9" w:rsidRDefault="00A508C9"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9390" w14:textId="77777777" w:rsidR="009C49DB" w:rsidRDefault="0019680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7B468" w14:textId="77777777" w:rsidR="009C49DB" w:rsidRDefault="009C49DB"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600D85A1" w14:textId="77777777" w:rsidTr="000C4086">
      <w:tc>
        <w:tcPr>
          <w:tcW w:w="3240" w:type="dxa"/>
          <w:tcBorders>
            <w:top w:val="nil"/>
            <w:left w:val="nil"/>
            <w:bottom w:val="nil"/>
            <w:right w:val="nil"/>
          </w:tcBorders>
        </w:tcPr>
        <w:p w14:paraId="25AEF147" w14:textId="77777777" w:rsidR="009C49DB" w:rsidRPr="000C4086" w:rsidRDefault="009C49DB" w:rsidP="00CD4848">
          <w:pPr>
            <w:pStyle w:val="Footer"/>
            <w:rPr>
              <w:sz w:val="16"/>
              <w:szCs w:val="16"/>
            </w:rPr>
          </w:pPr>
        </w:p>
      </w:tc>
      <w:tc>
        <w:tcPr>
          <w:tcW w:w="2641" w:type="dxa"/>
          <w:tcBorders>
            <w:top w:val="nil"/>
            <w:left w:val="nil"/>
            <w:bottom w:val="nil"/>
            <w:right w:val="nil"/>
          </w:tcBorders>
        </w:tcPr>
        <w:p w14:paraId="436AF4C1" w14:textId="77777777" w:rsidR="009C49DB" w:rsidRPr="000C4086" w:rsidRDefault="009C49DB" w:rsidP="000C4086">
          <w:pPr>
            <w:pStyle w:val="Header"/>
            <w:jc w:val="center"/>
            <w:rPr>
              <w:sz w:val="16"/>
              <w:szCs w:val="16"/>
            </w:rPr>
          </w:pPr>
        </w:p>
        <w:p w14:paraId="793C6049" w14:textId="77777777" w:rsidR="009C49DB" w:rsidRPr="000C4086" w:rsidRDefault="009C49DB" w:rsidP="000C4086">
          <w:pPr>
            <w:pStyle w:val="Header"/>
            <w:jc w:val="center"/>
            <w:rPr>
              <w:sz w:val="16"/>
              <w:szCs w:val="16"/>
            </w:rPr>
          </w:pPr>
        </w:p>
      </w:tc>
      <w:tc>
        <w:tcPr>
          <w:tcW w:w="3467" w:type="dxa"/>
          <w:tcBorders>
            <w:top w:val="nil"/>
            <w:left w:val="nil"/>
            <w:bottom w:val="nil"/>
            <w:right w:val="nil"/>
          </w:tcBorders>
        </w:tcPr>
        <w:p w14:paraId="1C46B7FF" w14:textId="77777777" w:rsidR="009C49DB" w:rsidRPr="000C4086" w:rsidRDefault="009C49DB" w:rsidP="000C4086">
          <w:pPr>
            <w:pStyle w:val="Footer"/>
            <w:jc w:val="right"/>
            <w:rPr>
              <w:rFonts w:ascii="Arial" w:hAnsi="Arial" w:cs="Arial"/>
              <w:sz w:val="16"/>
              <w:szCs w:val="16"/>
            </w:rPr>
          </w:pPr>
        </w:p>
      </w:tc>
    </w:tr>
  </w:tbl>
  <w:p w14:paraId="01CC6315" w14:textId="77777777" w:rsidR="009C49DB" w:rsidRPr="00F83456" w:rsidRDefault="009C49DB"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9E0F" w14:textId="77777777" w:rsidR="00A508C9" w:rsidRDefault="00A508C9" w:rsidP="00CE45BF">
      <w:pPr>
        <w:spacing w:after="0" w:line="240" w:lineRule="auto"/>
      </w:pPr>
      <w:r>
        <w:separator/>
      </w:r>
    </w:p>
  </w:footnote>
  <w:footnote w:type="continuationSeparator" w:id="0">
    <w:p w14:paraId="616E5408" w14:textId="77777777" w:rsidR="00A508C9" w:rsidRDefault="00A508C9" w:rsidP="00CE45BF">
      <w:pPr>
        <w:spacing w:after="0" w:line="240" w:lineRule="auto"/>
      </w:pPr>
      <w:r>
        <w:continuationSeparator/>
      </w:r>
    </w:p>
  </w:footnote>
  <w:footnote w:id="1">
    <w:p w14:paraId="15BFBB86" w14:textId="77777777" w:rsidR="009349B8" w:rsidRPr="00B364C3" w:rsidRDefault="009349B8" w:rsidP="009349B8">
      <w:pPr>
        <w:pStyle w:val="FootnoteText"/>
        <w:rPr>
          <w:rFonts w:cs="Arial"/>
          <w:sz w:val="18"/>
          <w:szCs w:val="18"/>
        </w:rPr>
      </w:pPr>
      <w:r w:rsidRPr="00B364C3">
        <w:rPr>
          <w:rStyle w:val="FootnoteReference"/>
          <w:rFonts w:cs="Arial"/>
          <w:sz w:val="18"/>
          <w:szCs w:val="18"/>
        </w:rPr>
        <w:footnoteRef/>
      </w:r>
      <w:r w:rsidRPr="00B364C3">
        <w:rPr>
          <w:rFonts w:cs="Arial"/>
          <w:sz w:val="18"/>
          <w:szCs w:val="18"/>
        </w:rPr>
        <w:t xml:space="preserve"> This role is delegated by the School Governors to the designated Child Protection governor.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EB91E43"/>
    <w:multiLevelType w:val="hybridMultilevel"/>
    <w:tmpl w:val="2BA0E7EA"/>
    <w:lvl w:ilvl="0" w:tplc="D67C0A7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7497103">
    <w:abstractNumId w:val="0"/>
  </w:num>
  <w:num w:numId="2" w16cid:durableId="2135978884">
    <w:abstractNumId w:val="2"/>
  </w:num>
  <w:num w:numId="3" w16cid:durableId="16367121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96803"/>
    <w:rsid w:val="001E768F"/>
    <w:rsid w:val="001F5869"/>
    <w:rsid w:val="00206ECD"/>
    <w:rsid w:val="002152DC"/>
    <w:rsid w:val="00226190"/>
    <w:rsid w:val="00246CF4"/>
    <w:rsid w:val="002F4ECF"/>
    <w:rsid w:val="00341FC2"/>
    <w:rsid w:val="003578D5"/>
    <w:rsid w:val="003F7A02"/>
    <w:rsid w:val="004B37A1"/>
    <w:rsid w:val="00517E47"/>
    <w:rsid w:val="005243E1"/>
    <w:rsid w:val="00566B66"/>
    <w:rsid w:val="00666FC2"/>
    <w:rsid w:val="006C0646"/>
    <w:rsid w:val="00746F77"/>
    <w:rsid w:val="007504F2"/>
    <w:rsid w:val="007607DE"/>
    <w:rsid w:val="007B7EA4"/>
    <w:rsid w:val="0081169B"/>
    <w:rsid w:val="00864167"/>
    <w:rsid w:val="00880B14"/>
    <w:rsid w:val="008F1839"/>
    <w:rsid w:val="009146F2"/>
    <w:rsid w:val="009349B8"/>
    <w:rsid w:val="0099372B"/>
    <w:rsid w:val="009A509D"/>
    <w:rsid w:val="009C49DB"/>
    <w:rsid w:val="00A508C9"/>
    <w:rsid w:val="00A56F81"/>
    <w:rsid w:val="00A80E06"/>
    <w:rsid w:val="00A95A9F"/>
    <w:rsid w:val="00AF2C56"/>
    <w:rsid w:val="00B2683E"/>
    <w:rsid w:val="00B52080"/>
    <w:rsid w:val="00B641D7"/>
    <w:rsid w:val="00BB0088"/>
    <w:rsid w:val="00BB2D22"/>
    <w:rsid w:val="00CE45BF"/>
    <w:rsid w:val="00D305AA"/>
    <w:rsid w:val="00D43213"/>
    <w:rsid w:val="00D8101B"/>
    <w:rsid w:val="00DD6F4D"/>
    <w:rsid w:val="00E87848"/>
    <w:rsid w:val="00E97848"/>
    <w:rsid w:val="00F261F7"/>
    <w:rsid w:val="00F3417F"/>
    <w:rsid w:val="00F475DE"/>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C2D0"/>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booth@lanca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education.gov.uk/assets/files/pdf/d/dealing%20with%20allegations%20of%20abuse%20october%20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uk/publications/eOrderingDownload/00305-2010DOM-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cation.gov.uk/publications/eOrderingDownload/Final%206836-Safeguard.Chd%20bkmk.pdf" TargetMode="External"/><Relationship Id="rId4" Type="http://schemas.openxmlformats.org/officeDocument/2006/relationships/settings" Target="settings.xml"/><Relationship Id="rId9" Type="http://schemas.openxmlformats.org/officeDocument/2006/relationships/hyperlink" Target="http://media.education.gov.uk/assets/files/pdf/d/dealing%20with%20allegations%20of%20abuse%20october%20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0EE3-EB4E-4A2B-A598-5E327ECE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2020-05-06T11:44:00Z</dcterms:created>
  <dcterms:modified xsi:type="dcterms:W3CDTF">2024-09-03T12:05:00Z</dcterms:modified>
</cp:coreProperties>
</file>